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D11920">
      <w:pPr>
        <w:pStyle w:val="NormalWeb"/>
        <w:spacing w:before="0" w:beforeAutospacing="0" w:after="0" w:afterAutospacing="0" w:line="480" w:lineRule="auto"/>
        <w:jc w:val="center"/>
        <w:rPr>
          <w:b/>
          <w:bCs/>
        </w:rPr>
      </w:pPr>
    </w:p>
    <w:p w:rsidR="00D11920" w:rsidRDefault="00D11920" w:rsidP="003D4DD0">
      <w:pPr>
        <w:pStyle w:val="NormalWeb"/>
        <w:spacing w:before="0" w:beforeAutospacing="0" w:after="0" w:afterAutospacing="0" w:line="384" w:lineRule="auto"/>
        <w:rPr>
          <w:b/>
          <w:bCs/>
        </w:rPr>
      </w:pPr>
    </w:p>
    <w:p w:rsidR="00D11920" w:rsidRPr="002E52CF" w:rsidRDefault="002E52CF" w:rsidP="003D4DD0">
      <w:pPr>
        <w:spacing w:line="384" w:lineRule="auto"/>
        <w:jc w:val="center"/>
        <w:rPr>
          <w:rFonts w:ascii="Times New Roman" w:hAnsi="Times New Roman" w:cs="Times New Roman"/>
          <w:b/>
          <w:bCs/>
          <w:sz w:val="24"/>
          <w:szCs w:val="24"/>
        </w:rPr>
      </w:pPr>
      <w:r w:rsidRPr="002E52CF">
        <w:rPr>
          <w:rFonts w:ascii="Times New Roman" w:hAnsi="Times New Roman" w:cs="Times New Roman"/>
          <w:b/>
          <w:bCs/>
          <w:sz w:val="24"/>
          <w:szCs w:val="24"/>
        </w:rPr>
        <w:t>Issues Affecting the Current APRN Practice</w:t>
      </w:r>
    </w:p>
    <w:p w:rsidR="00D11920" w:rsidRPr="006A7A77" w:rsidRDefault="00D11920" w:rsidP="003D4DD0">
      <w:pPr>
        <w:pStyle w:val="NormalWeb"/>
        <w:spacing w:before="0" w:beforeAutospacing="0" w:after="0" w:afterAutospacing="0" w:line="384" w:lineRule="auto"/>
        <w:jc w:val="center"/>
        <w:rPr>
          <w:color w:val="0E101A"/>
        </w:rPr>
      </w:pPr>
      <w:r w:rsidRPr="006A7A77">
        <w:rPr>
          <w:color w:val="0E101A"/>
        </w:rPr>
        <w:t>Name</w:t>
      </w:r>
    </w:p>
    <w:p w:rsidR="00D11920" w:rsidRPr="006A7A77" w:rsidRDefault="00D11920" w:rsidP="003D4DD0">
      <w:pPr>
        <w:pStyle w:val="NormalWeb"/>
        <w:spacing w:before="0" w:beforeAutospacing="0" w:after="0" w:afterAutospacing="0" w:line="384" w:lineRule="auto"/>
        <w:jc w:val="center"/>
        <w:rPr>
          <w:color w:val="0E101A"/>
        </w:rPr>
      </w:pPr>
      <w:r w:rsidRPr="006A7A77">
        <w:rPr>
          <w:color w:val="0E101A"/>
        </w:rPr>
        <w:t>Institution</w:t>
      </w:r>
    </w:p>
    <w:p w:rsidR="00D11920" w:rsidRPr="006A7A77" w:rsidRDefault="00D11920" w:rsidP="003D4DD0">
      <w:pPr>
        <w:pStyle w:val="NormalWeb"/>
        <w:spacing w:before="0" w:beforeAutospacing="0" w:after="0" w:afterAutospacing="0" w:line="384" w:lineRule="auto"/>
        <w:jc w:val="center"/>
        <w:rPr>
          <w:color w:val="0E101A"/>
        </w:rPr>
      </w:pPr>
      <w:r w:rsidRPr="006A7A77">
        <w:rPr>
          <w:color w:val="0E101A"/>
        </w:rPr>
        <w:t>Course</w:t>
      </w:r>
    </w:p>
    <w:p w:rsidR="00D11920" w:rsidRPr="006A7A77" w:rsidRDefault="00D11920" w:rsidP="003D4DD0">
      <w:pPr>
        <w:pStyle w:val="NormalWeb"/>
        <w:spacing w:before="0" w:beforeAutospacing="0" w:after="0" w:afterAutospacing="0" w:line="384" w:lineRule="auto"/>
        <w:jc w:val="center"/>
        <w:rPr>
          <w:color w:val="0E101A"/>
        </w:rPr>
      </w:pPr>
      <w:r w:rsidRPr="006A7A77">
        <w:rPr>
          <w:color w:val="0E101A"/>
        </w:rPr>
        <w:t>Professo</w:t>
      </w:r>
      <w:r>
        <w:rPr>
          <w:color w:val="0E101A"/>
        </w:rPr>
        <w:t>r</w:t>
      </w:r>
    </w:p>
    <w:p w:rsidR="00D11920" w:rsidRDefault="00D11920" w:rsidP="003D4DD0">
      <w:pPr>
        <w:pStyle w:val="NormalWeb"/>
        <w:spacing w:before="0" w:beforeAutospacing="0" w:after="0" w:afterAutospacing="0" w:line="384" w:lineRule="auto"/>
        <w:jc w:val="center"/>
        <w:rPr>
          <w:color w:val="0E101A"/>
        </w:rPr>
      </w:pPr>
      <w:r w:rsidRPr="006A7A77">
        <w:rPr>
          <w:color w:val="0E101A"/>
        </w:rPr>
        <w:t>Date</w:t>
      </w:r>
    </w:p>
    <w:p w:rsidR="00D11920" w:rsidRDefault="00D11920" w:rsidP="001F59FF">
      <w:pPr>
        <w:spacing w:line="384"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lastRenderedPageBreak/>
        <w:t>Name,</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Address,</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Phone</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Email</w:t>
      </w:r>
    </w:p>
    <w:p w:rsidR="008230B3" w:rsidRDefault="008230B3" w:rsidP="001F59FF">
      <w:pPr>
        <w:spacing w:line="384" w:lineRule="auto"/>
        <w:jc w:val="both"/>
        <w:rPr>
          <w:rFonts w:ascii="Times New Roman" w:hAnsi="Times New Roman" w:cs="Times New Roman"/>
          <w:sz w:val="24"/>
          <w:szCs w:val="24"/>
        </w:rPr>
      </w:pP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April 14, 2021</w:t>
      </w:r>
    </w:p>
    <w:p w:rsidR="008230B3" w:rsidRDefault="008230B3" w:rsidP="001F59FF">
      <w:pPr>
        <w:spacing w:line="384" w:lineRule="auto"/>
        <w:jc w:val="both"/>
        <w:rPr>
          <w:rFonts w:ascii="Times New Roman" w:hAnsi="Times New Roman" w:cs="Times New Roman"/>
          <w:sz w:val="24"/>
          <w:szCs w:val="24"/>
        </w:rPr>
      </w:pP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Lucy McCarthy,</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Managing Director,</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US Department of Health and Human Services</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Washington, District of Columbia, United States</w:t>
      </w:r>
    </w:p>
    <w:p w:rsidR="008230B3" w:rsidRDefault="008230B3" w:rsidP="008230B3">
      <w:pPr>
        <w:spacing w:line="384" w:lineRule="auto"/>
        <w:jc w:val="both"/>
        <w:rPr>
          <w:rFonts w:ascii="Times New Roman" w:hAnsi="Times New Roman" w:cs="Times New Roman"/>
          <w:sz w:val="24"/>
          <w:szCs w:val="24"/>
        </w:rPr>
      </w:pPr>
    </w:p>
    <w:p w:rsidR="008230B3" w:rsidRDefault="008230B3" w:rsidP="008230B3">
      <w:pPr>
        <w:spacing w:line="384" w:lineRule="auto"/>
        <w:jc w:val="both"/>
        <w:rPr>
          <w:rFonts w:ascii="Times New Roman" w:hAnsi="Times New Roman" w:cs="Times New Roman"/>
          <w:sz w:val="24"/>
          <w:szCs w:val="24"/>
        </w:rPr>
      </w:pPr>
      <w:r>
        <w:rPr>
          <w:rFonts w:ascii="Times New Roman" w:hAnsi="Times New Roman" w:cs="Times New Roman"/>
          <w:sz w:val="24"/>
          <w:szCs w:val="24"/>
        </w:rPr>
        <w:t>Dear Lucy,</w:t>
      </w:r>
    </w:p>
    <w:p w:rsidR="008230B3" w:rsidRPr="00840F1F" w:rsidRDefault="008230B3" w:rsidP="008230B3">
      <w:pPr>
        <w:spacing w:line="384" w:lineRule="auto"/>
        <w:jc w:val="both"/>
        <w:rPr>
          <w:rFonts w:ascii="Times New Roman" w:hAnsi="Times New Roman" w:cs="Times New Roman"/>
          <w:b/>
          <w:bCs/>
          <w:sz w:val="24"/>
          <w:szCs w:val="24"/>
          <w:u w:val="single"/>
        </w:rPr>
      </w:pPr>
      <w:r w:rsidRPr="00840F1F">
        <w:rPr>
          <w:rFonts w:ascii="Times New Roman" w:hAnsi="Times New Roman" w:cs="Times New Roman"/>
          <w:b/>
          <w:bCs/>
          <w:sz w:val="24"/>
          <w:szCs w:val="24"/>
          <w:u w:val="single"/>
        </w:rPr>
        <w:t xml:space="preserve">RE: Issues Affecting </w:t>
      </w:r>
      <w:r w:rsidR="00F23815" w:rsidRPr="00840F1F">
        <w:rPr>
          <w:rFonts w:ascii="Times New Roman" w:hAnsi="Times New Roman" w:cs="Times New Roman"/>
          <w:b/>
          <w:bCs/>
          <w:sz w:val="24"/>
          <w:szCs w:val="24"/>
          <w:u w:val="single"/>
        </w:rPr>
        <w:t xml:space="preserve">the </w:t>
      </w:r>
      <w:r w:rsidRPr="00840F1F">
        <w:rPr>
          <w:rFonts w:ascii="Times New Roman" w:hAnsi="Times New Roman" w:cs="Times New Roman"/>
          <w:b/>
          <w:bCs/>
          <w:sz w:val="24"/>
          <w:szCs w:val="24"/>
          <w:u w:val="single"/>
        </w:rPr>
        <w:t xml:space="preserve">Current Advanced Practice Registered Nurses </w:t>
      </w:r>
      <w:r w:rsidR="00840F1F">
        <w:rPr>
          <w:rFonts w:ascii="Times New Roman" w:hAnsi="Times New Roman" w:cs="Times New Roman"/>
          <w:b/>
          <w:bCs/>
          <w:sz w:val="24"/>
          <w:szCs w:val="24"/>
          <w:u w:val="single"/>
        </w:rPr>
        <w:t xml:space="preserve">(APRN) </w:t>
      </w:r>
      <w:r w:rsidRPr="00840F1F">
        <w:rPr>
          <w:rFonts w:ascii="Times New Roman" w:hAnsi="Times New Roman" w:cs="Times New Roman"/>
          <w:b/>
          <w:bCs/>
          <w:sz w:val="24"/>
          <w:szCs w:val="24"/>
          <w:u w:val="single"/>
        </w:rPr>
        <w:t>Practice</w:t>
      </w:r>
    </w:p>
    <w:p w:rsidR="008230B3" w:rsidRPr="00241892" w:rsidRDefault="008230B3" w:rsidP="001F59FF">
      <w:pPr>
        <w:spacing w:line="384" w:lineRule="auto"/>
        <w:jc w:val="both"/>
        <w:rPr>
          <w:rFonts w:ascii="Times New Roman" w:hAnsi="Times New Roman" w:cs="Times New Roman"/>
          <w:sz w:val="24"/>
          <w:szCs w:val="24"/>
        </w:rPr>
      </w:pPr>
      <w:r w:rsidRPr="00241892">
        <w:rPr>
          <w:rFonts w:ascii="Times New Roman" w:hAnsi="Times New Roman" w:cs="Times New Roman"/>
          <w:sz w:val="24"/>
          <w:szCs w:val="24"/>
        </w:rPr>
        <w:t xml:space="preserve">I am writing this letter with regards to the topic above. As a certified Nurse practitioner, I am privileged to be part of growing numbers of APRNs across the US and pursue my duty to my patients. However, similar to other nurses, we face some specific barriers that, in turn, impede our full practice authority due to some restrictive regulations that I shall discuss in this letter. For nursing practitioners to practice to their </w:t>
      </w:r>
      <w:r>
        <w:rPr>
          <w:rFonts w:ascii="Times New Roman" w:hAnsi="Times New Roman" w:cs="Times New Roman"/>
          <w:sz w:val="24"/>
          <w:szCs w:val="24"/>
        </w:rPr>
        <w:t>absolute</w:t>
      </w:r>
      <w:r w:rsidRPr="00241892">
        <w:rPr>
          <w:rFonts w:ascii="Times New Roman" w:hAnsi="Times New Roman" w:cs="Times New Roman"/>
          <w:sz w:val="24"/>
          <w:szCs w:val="24"/>
        </w:rPr>
        <w:t xml:space="preserve"> potential, increase patient admittance to healthcare services, and</w:t>
      </w:r>
      <w:r>
        <w:rPr>
          <w:rFonts w:ascii="Times New Roman" w:hAnsi="Times New Roman" w:cs="Times New Roman"/>
          <w:sz w:val="24"/>
          <w:szCs w:val="24"/>
        </w:rPr>
        <w:t xml:space="preserve"> attend to</w:t>
      </w:r>
      <w:r w:rsidRPr="00241892">
        <w:rPr>
          <w:rFonts w:ascii="Times New Roman" w:hAnsi="Times New Roman" w:cs="Times New Roman"/>
          <w:sz w:val="24"/>
          <w:szCs w:val="24"/>
        </w:rPr>
        <w:t xml:space="preserve"> the requirements of the patient we represent, barriers to practice must be eliminated.</w:t>
      </w:r>
    </w:p>
    <w:p w:rsidR="008230B3" w:rsidRPr="00241892" w:rsidRDefault="008230B3" w:rsidP="001F59FF">
      <w:pPr>
        <w:spacing w:line="384" w:lineRule="auto"/>
        <w:jc w:val="both"/>
        <w:rPr>
          <w:rFonts w:ascii="Times New Roman" w:hAnsi="Times New Roman" w:cs="Times New Roman"/>
          <w:sz w:val="24"/>
          <w:szCs w:val="24"/>
        </w:rPr>
      </w:pPr>
      <w:r w:rsidRPr="00241892">
        <w:rPr>
          <w:rFonts w:ascii="Times New Roman" w:hAnsi="Times New Roman" w:cs="Times New Roman"/>
          <w:sz w:val="24"/>
          <w:szCs w:val="24"/>
        </w:rPr>
        <w:t>For patients, obtaining treatment is a big obstacle. When eligible NPs are eager and able to provide high-quality, cost-effective services, but governmental agencies continue to disregard regulations that would amend laws and modernize health care, this access is harmed (</w:t>
      </w:r>
      <w:r>
        <w:rPr>
          <w:rFonts w:ascii="Times New Roman" w:hAnsi="Times New Roman" w:cs="Times New Roman"/>
          <w:sz w:val="24"/>
          <w:szCs w:val="24"/>
        </w:rPr>
        <w:t xml:space="preserve">Peterson, </w:t>
      </w:r>
      <w:r>
        <w:rPr>
          <w:rFonts w:ascii="Times New Roman" w:hAnsi="Times New Roman" w:cs="Times New Roman"/>
          <w:sz w:val="24"/>
          <w:szCs w:val="24"/>
        </w:rPr>
        <w:lastRenderedPageBreak/>
        <w:t>2017</w:t>
      </w:r>
      <w:r w:rsidRPr="00241892">
        <w:rPr>
          <w:rFonts w:ascii="Times New Roman" w:hAnsi="Times New Roman" w:cs="Times New Roman"/>
          <w:sz w:val="24"/>
          <w:szCs w:val="24"/>
        </w:rPr>
        <w:t xml:space="preserve">). One of the </w:t>
      </w:r>
      <w:r>
        <w:rPr>
          <w:rFonts w:ascii="Times New Roman" w:hAnsi="Times New Roman" w:cs="Times New Roman"/>
          <w:sz w:val="24"/>
          <w:szCs w:val="24"/>
        </w:rPr>
        <w:t>greatest</w:t>
      </w:r>
      <w:r w:rsidRPr="00241892">
        <w:rPr>
          <w:rFonts w:ascii="Times New Roman" w:hAnsi="Times New Roman" w:cs="Times New Roman"/>
          <w:sz w:val="24"/>
          <w:szCs w:val="24"/>
        </w:rPr>
        <w:t xml:space="preserve"> significant barriers to nursing practice is the disorganized system of state </w:t>
      </w:r>
      <w:r>
        <w:rPr>
          <w:rFonts w:ascii="Times New Roman" w:hAnsi="Times New Roman" w:cs="Times New Roman"/>
          <w:sz w:val="24"/>
          <w:szCs w:val="24"/>
        </w:rPr>
        <w:t>guidelines</w:t>
      </w:r>
      <w:r w:rsidRPr="00241892">
        <w:rPr>
          <w:rFonts w:ascii="Times New Roman" w:hAnsi="Times New Roman" w:cs="Times New Roman"/>
          <w:sz w:val="24"/>
          <w:szCs w:val="24"/>
        </w:rPr>
        <w:t xml:space="preserve">, which can serve to limit the room </w:t>
      </w:r>
      <w:r>
        <w:rPr>
          <w:rFonts w:ascii="Times New Roman" w:hAnsi="Times New Roman" w:cs="Times New Roman"/>
          <w:sz w:val="24"/>
          <w:szCs w:val="24"/>
        </w:rPr>
        <w:t>for</w:t>
      </w:r>
      <w:r w:rsidRPr="00241892">
        <w:rPr>
          <w:rFonts w:ascii="Times New Roman" w:hAnsi="Times New Roman" w:cs="Times New Roman"/>
          <w:sz w:val="24"/>
          <w:szCs w:val="24"/>
        </w:rPr>
        <w:t xml:space="preserve"> practice and prohibit nurse practitioners from operating in a manner constant with their learning and skills (</w:t>
      </w:r>
      <w:r>
        <w:rPr>
          <w:rFonts w:ascii="Times New Roman" w:hAnsi="Times New Roman" w:cs="Times New Roman"/>
          <w:sz w:val="24"/>
          <w:szCs w:val="24"/>
        </w:rPr>
        <w:t>Peterson, 2017</w:t>
      </w:r>
      <w:r w:rsidRPr="00241892">
        <w:rPr>
          <w:rFonts w:ascii="Times New Roman" w:hAnsi="Times New Roman" w:cs="Times New Roman"/>
          <w:sz w:val="24"/>
          <w:szCs w:val="24"/>
        </w:rPr>
        <w:t xml:space="preserve">). Despite a common objective of practice authority, nurse practitioner licensing and practice laws differ by state. When nurses with the same educational training and national qualification move from one state to another, they can face many restrictions, restricting their scope of </w:t>
      </w:r>
      <w:r>
        <w:rPr>
          <w:rFonts w:ascii="Times New Roman" w:hAnsi="Times New Roman" w:cs="Times New Roman"/>
          <w:sz w:val="24"/>
          <w:szCs w:val="24"/>
        </w:rPr>
        <w:t>training</w:t>
      </w:r>
      <w:r w:rsidRPr="00241892">
        <w:rPr>
          <w:rFonts w:ascii="Times New Roman" w:hAnsi="Times New Roman" w:cs="Times New Roman"/>
          <w:sz w:val="24"/>
          <w:szCs w:val="24"/>
        </w:rPr>
        <w:t xml:space="preserve"> (</w:t>
      </w:r>
      <w:r>
        <w:rPr>
          <w:rFonts w:ascii="Times New Roman" w:hAnsi="Times New Roman" w:cs="Times New Roman"/>
          <w:sz w:val="24"/>
          <w:szCs w:val="24"/>
        </w:rPr>
        <w:t>Gutchell et al., 2014</w:t>
      </w:r>
      <w:r w:rsidRPr="00241892">
        <w:rPr>
          <w:rFonts w:ascii="Times New Roman" w:hAnsi="Times New Roman" w:cs="Times New Roman"/>
          <w:sz w:val="24"/>
          <w:szCs w:val="24"/>
        </w:rPr>
        <w:t xml:space="preserve">). The degree of medical care can affect </w:t>
      </w:r>
      <w:r>
        <w:rPr>
          <w:rFonts w:ascii="Times New Roman" w:hAnsi="Times New Roman" w:cs="Times New Roman"/>
          <w:sz w:val="24"/>
          <w:szCs w:val="24"/>
        </w:rPr>
        <w:t xml:space="preserve">nursing </w:t>
      </w:r>
      <w:r w:rsidRPr="00241892">
        <w:rPr>
          <w:rFonts w:ascii="Times New Roman" w:hAnsi="Times New Roman" w:cs="Times New Roman"/>
          <w:sz w:val="24"/>
          <w:szCs w:val="24"/>
        </w:rPr>
        <w:t xml:space="preserve">practice opportunities and payer plans for </w:t>
      </w:r>
      <w:r>
        <w:rPr>
          <w:rFonts w:ascii="Times New Roman" w:hAnsi="Times New Roman" w:cs="Times New Roman"/>
          <w:sz w:val="24"/>
          <w:szCs w:val="24"/>
        </w:rPr>
        <w:t>practitioner</w:t>
      </w:r>
      <w:r w:rsidRPr="00241892">
        <w:rPr>
          <w:rFonts w:ascii="Times New Roman" w:hAnsi="Times New Roman" w:cs="Times New Roman"/>
          <w:sz w:val="24"/>
          <w:szCs w:val="24"/>
        </w:rPr>
        <w:t>s, so variations in the scope of practice across states have an indirect effect on patient care.</w:t>
      </w:r>
    </w:p>
    <w:p w:rsidR="008230B3" w:rsidRPr="00241892" w:rsidRDefault="008230B3" w:rsidP="001F59FF">
      <w:pPr>
        <w:spacing w:line="384" w:lineRule="auto"/>
        <w:jc w:val="both"/>
        <w:rPr>
          <w:rFonts w:ascii="Times New Roman" w:hAnsi="Times New Roman" w:cs="Times New Roman"/>
          <w:sz w:val="24"/>
          <w:szCs w:val="24"/>
        </w:rPr>
      </w:pPr>
      <w:r w:rsidRPr="00241892">
        <w:rPr>
          <w:rFonts w:ascii="Times New Roman" w:hAnsi="Times New Roman" w:cs="Times New Roman"/>
          <w:sz w:val="24"/>
          <w:szCs w:val="24"/>
        </w:rPr>
        <w:t>Despite the fact that physicians and nurse practitioners share the same aim of enhancing patient outcomes, obstacles to effective cooperation have been described as a lack of awareness of the nursing practitioner’s field of practice. Ineffective teamwork is a product of the conventional medical hierarchal model of practice (</w:t>
      </w:r>
      <w:r>
        <w:rPr>
          <w:rFonts w:ascii="Times New Roman" w:hAnsi="Times New Roman" w:cs="Times New Roman"/>
          <w:sz w:val="24"/>
          <w:szCs w:val="24"/>
        </w:rPr>
        <w:t>Peterson, 2017</w:t>
      </w:r>
      <w:r w:rsidRPr="00241892">
        <w:rPr>
          <w:rFonts w:ascii="Times New Roman" w:hAnsi="Times New Roman" w:cs="Times New Roman"/>
          <w:sz w:val="24"/>
          <w:szCs w:val="24"/>
        </w:rPr>
        <w:t xml:space="preserve">). This kind of opposition encourages physicians to exert control over the rest of the healthcare team. This form of the medical system will no longer be appropriate as a deficiency of primary care providers grows in the </w:t>
      </w:r>
      <w:r>
        <w:rPr>
          <w:rFonts w:ascii="Times New Roman" w:hAnsi="Times New Roman" w:cs="Times New Roman"/>
          <w:sz w:val="24"/>
          <w:szCs w:val="24"/>
        </w:rPr>
        <w:t>future</w:t>
      </w:r>
      <w:r w:rsidRPr="00241892">
        <w:rPr>
          <w:rFonts w:ascii="Times New Roman" w:hAnsi="Times New Roman" w:cs="Times New Roman"/>
          <w:sz w:val="24"/>
          <w:szCs w:val="24"/>
        </w:rPr>
        <w:t xml:space="preserve"> and healthcare professionals struggle to cater to an elderly population. (</w:t>
      </w:r>
      <w:r>
        <w:rPr>
          <w:rFonts w:ascii="Times New Roman" w:hAnsi="Times New Roman" w:cs="Times New Roman"/>
          <w:sz w:val="24"/>
          <w:szCs w:val="24"/>
        </w:rPr>
        <w:t>Gutchell et al., 2014</w:t>
      </w:r>
      <w:r w:rsidRPr="00241892">
        <w:rPr>
          <w:rFonts w:ascii="Times New Roman" w:hAnsi="Times New Roman" w:cs="Times New Roman"/>
          <w:sz w:val="24"/>
          <w:szCs w:val="24"/>
        </w:rPr>
        <w:t>) It is essential to develop integrated care models that value the contributions of all healthcare professionals.</w:t>
      </w:r>
    </w:p>
    <w:p w:rsidR="008230B3" w:rsidRDefault="008230B3" w:rsidP="001F59FF">
      <w:pPr>
        <w:spacing w:line="384" w:lineRule="auto"/>
        <w:jc w:val="both"/>
        <w:rPr>
          <w:rFonts w:ascii="Times New Roman" w:hAnsi="Times New Roman" w:cs="Times New Roman"/>
          <w:sz w:val="24"/>
          <w:szCs w:val="24"/>
        </w:rPr>
      </w:pPr>
      <w:r w:rsidRPr="00241892">
        <w:rPr>
          <w:rFonts w:ascii="Times New Roman" w:hAnsi="Times New Roman" w:cs="Times New Roman"/>
          <w:sz w:val="24"/>
          <w:szCs w:val="24"/>
        </w:rPr>
        <w:t>The barriers to full practice go beyond the two that I have listed, from physician-related issues to payer policy issues. I believe that Improving practice and access to treatment requires removing practice barriers. Health policy must be altered in order to eliminate practice obstacles. As we work to eliminate outdated laws and regulations that create these obstacles, health regulatory bodies can strengthen results by applying theory, facts, and experiences.</w:t>
      </w:r>
    </w:p>
    <w:p w:rsidR="008230B3" w:rsidRDefault="008230B3" w:rsidP="001F59FF">
      <w:pPr>
        <w:spacing w:line="384" w:lineRule="auto"/>
        <w:jc w:val="both"/>
        <w:rPr>
          <w:rFonts w:ascii="Times New Roman" w:hAnsi="Times New Roman" w:cs="Times New Roman"/>
          <w:sz w:val="24"/>
          <w:szCs w:val="24"/>
        </w:rPr>
      </w:pP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Signature.</w:t>
      </w:r>
    </w:p>
    <w:p w:rsidR="008230B3" w:rsidRDefault="008230B3" w:rsidP="001F59FF">
      <w:pPr>
        <w:spacing w:line="384" w:lineRule="auto"/>
        <w:jc w:val="both"/>
        <w:rPr>
          <w:rFonts w:ascii="Times New Roman" w:hAnsi="Times New Roman" w:cs="Times New Roman"/>
          <w:sz w:val="24"/>
          <w:szCs w:val="24"/>
        </w:rPr>
      </w:pPr>
      <w:r>
        <w:rPr>
          <w:rFonts w:ascii="Times New Roman" w:hAnsi="Times New Roman" w:cs="Times New Roman"/>
          <w:sz w:val="24"/>
          <w:szCs w:val="24"/>
        </w:rPr>
        <w:t>Name.</w:t>
      </w:r>
    </w:p>
    <w:p w:rsidR="00BC47A0" w:rsidRPr="008552D7" w:rsidRDefault="008230B3" w:rsidP="001F59FF">
      <w:pPr>
        <w:spacing w:line="384"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br w:type="page"/>
      </w:r>
      <w:r w:rsidR="00BC47A0" w:rsidRPr="008552D7">
        <w:rPr>
          <w:rFonts w:ascii="Times New Roman" w:hAnsi="Times New Roman" w:cs="Times New Roman"/>
          <w:b/>
          <w:bCs/>
          <w:sz w:val="24"/>
          <w:szCs w:val="24"/>
        </w:rPr>
        <w:lastRenderedPageBreak/>
        <w:t>References</w:t>
      </w:r>
    </w:p>
    <w:p w:rsidR="00BC47A0" w:rsidRPr="00921500" w:rsidRDefault="00BC47A0" w:rsidP="00BC47A0">
      <w:pPr>
        <w:spacing w:line="384" w:lineRule="auto"/>
        <w:ind w:left="720" w:hanging="720"/>
        <w:jc w:val="both"/>
        <w:rPr>
          <w:rFonts w:ascii="Times New Roman" w:hAnsi="Times New Roman" w:cs="Times New Roman"/>
          <w:color w:val="222222"/>
          <w:sz w:val="24"/>
          <w:szCs w:val="24"/>
          <w:shd w:val="clear" w:color="auto" w:fill="FFFFFF"/>
        </w:rPr>
      </w:pPr>
      <w:r w:rsidRPr="00921500">
        <w:rPr>
          <w:rFonts w:ascii="Times New Roman" w:hAnsi="Times New Roman" w:cs="Times New Roman"/>
          <w:color w:val="222222"/>
          <w:sz w:val="24"/>
          <w:szCs w:val="24"/>
          <w:shd w:val="clear" w:color="auto" w:fill="FFFFFF"/>
        </w:rPr>
        <w:t>Peterson, M. E. (2017). Barriers to practice and the impact on health care: A nurse practitioner focus. </w:t>
      </w:r>
      <w:r w:rsidRPr="00921500">
        <w:rPr>
          <w:rFonts w:ascii="Times New Roman" w:hAnsi="Times New Roman" w:cs="Times New Roman"/>
          <w:i/>
          <w:iCs/>
          <w:color w:val="222222"/>
          <w:sz w:val="24"/>
          <w:szCs w:val="24"/>
          <w:shd w:val="clear" w:color="auto" w:fill="FFFFFF"/>
        </w:rPr>
        <w:t>Journal of the advanced practitioner in oncology</w:t>
      </w:r>
      <w:r w:rsidRPr="00921500">
        <w:rPr>
          <w:rFonts w:ascii="Times New Roman" w:hAnsi="Times New Roman" w:cs="Times New Roman"/>
          <w:color w:val="222222"/>
          <w:sz w:val="24"/>
          <w:szCs w:val="24"/>
          <w:shd w:val="clear" w:color="auto" w:fill="FFFFFF"/>
        </w:rPr>
        <w:t>, </w:t>
      </w:r>
      <w:r w:rsidRPr="00921500">
        <w:rPr>
          <w:rFonts w:ascii="Times New Roman" w:hAnsi="Times New Roman" w:cs="Times New Roman"/>
          <w:i/>
          <w:iCs/>
          <w:color w:val="222222"/>
          <w:sz w:val="24"/>
          <w:szCs w:val="24"/>
          <w:shd w:val="clear" w:color="auto" w:fill="FFFFFF"/>
        </w:rPr>
        <w:t>8</w:t>
      </w:r>
      <w:r w:rsidRPr="00921500">
        <w:rPr>
          <w:rFonts w:ascii="Times New Roman" w:hAnsi="Times New Roman" w:cs="Times New Roman"/>
          <w:color w:val="222222"/>
          <w:sz w:val="24"/>
          <w:szCs w:val="24"/>
          <w:shd w:val="clear" w:color="auto" w:fill="FFFFFF"/>
        </w:rPr>
        <w:t>(1), 74.</w:t>
      </w:r>
    </w:p>
    <w:p w:rsidR="00BC47A0" w:rsidRPr="00921500" w:rsidRDefault="00BC47A0" w:rsidP="00BC47A0">
      <w:pPr>
        <w:spacing w:line="384" w:lineRule="auto"/>
        <w:ind w:left="720" w:hanging="720"/>
        <w:jc w:val="both"/>
        <w:rPr>
          <w:rFonts w:ascii="Times New Roman" w:hAnsi="Times New Roman" w:cs="Times New Roman"/>
          <w:sz w:val="32"/>
          <w:szCs w:val="32"/>
        </w:rPr>
      </w:pPr>
      <w:r w:rsidRPr="00921500">
        <w:rPr>
          <w:rFonts w:ascii="Times New Roman" w:hAnsi="Times New Roman" w:cs="Times New Roman"/>
          <w:color w:val="222222"/>
          <w:sz w:val="24"/>
          <w:szCs w:val="24"/>
          <w:shd w:val="clear" w:color="auto" w:fill="FFFFFF"/>
        </w:rPr>
        <w:t>Gutchell, V., Idzik, S., &amp; Lazear, J. (2014). An evidence-based path to removing APRN practice barriers. </w:t>
      </w:r>
      <w:r w:rsidRPr="00921500">
        <w:rPr>
          <w:rFonts w:ascii="Times New Roman" w:hAnsi="Times New Roman" w:cs="Times New Roman"/>
          <w:i/>
          <w:iCs/>
          <w:color w:val="222222"/>
          <w:sz w:val="24"/>
          <w:szCs w:val="24"/>
          <w:shd w:val="clear" w:color="auto" w:fill="FFFFFF"/>
        </w:rPr>
        <w:t>The Journal for Nurse Practitioners</w:t>
      </w:r>
      <w:r w:rsidRPr="00921500">
        <w:rPr>
          <w:rFonts w:ascii="Times New Roman" w:hAnsi="Times New Roman" w:cs="Times New Roman"/>
          <w:color w:val="222222"/>
          <w:sz w:val="24"/>
          <w:szCs w:val="24"/>
          <w:shd w:val="clear" w:color="auto" w:fill="FFFFFF"/>
        </w:rPr>
        <w:t>, </w:t>
      </w:r>
      <w:r w:rsidRPr="00921500">
        <w:rPr>
          <w:rFonts w:ascii="Times New Roman" w:hAnsi="Times New Roman" w:cs="Times New Roman"/>
          <w:i/>
          <w:iCs/>
          <w:color w:val="222222"/>
          <w:sz w:val="24"/>
          <w:szCs w:val="24"/>
          <w:shd w:val="clear" w:color="auto" w:fill="FFFFFF"/>
        </w:rPr>
        <w:t>10</w:t>
      </w:r>
      <w:r w:rsidRPr="00921500">
        <w:rPr>
          <w:rFonts w:ascii="Times New Roman" w:hAnsi="Times New Roman" w:cs="Times New Roman"/>
          <w:color w:val="222222"/>
          <w:sz w:val="24"/>
          <w:szCs w:val="24"/>
          <w:shd w:val="clear" w:color="auto" w:fill="FFFFFF"/>
        </w:rPr>
        <w:t>(4), 255-261.</w:t>
      </w:r>
    </w:p>
    <w:p w:rsidR="00D11920" w:rsidRPr="00554062" w:rsidRDefault="00D11920" w:rsidP="00D11920">
      <w:pPr>
        <w:spacing w:line="480" w:lineRule="auto"/>
        <w:ind w:left="720" w:hanging="720"/>
        <w:jc w:val="both"/>
        <w:rPr>
          <w:rFonts w:ascii="Times New Roman" w:hAnsi="Times New Roman" w:cs="Times New Roman"/>
          <w:sz w:val="24"/>
          <w:szCs w:val="24"/>
        </w:rPr>
      </w:pPr>
    </w:p>
    <w:p w:rsidR="00D11920" w:rsidRDefault="00D11920"/>
    <w:sectPr w:rsidR="00D11920" w:rsidSect="004206C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0C5" w:rsidRDefault="005360C5" w:rsidP="004206C2">
      <w:pPr>
        <w:spacing w:after="0" w:line="240" w:lineRule="auto"/>
      </w:pPr>
      <w:r>
        <w:separator/>
      </w:r>
    </w:p>
  </w:endnote>
  <w:endnote w:type="continuationSeparator" w:id="1">
    <w:p w:rsidR="005360C5" w:rsidRDefault="005360C5" w:rsidP="00420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0C5" w:rsidRDefault="005360C5" w:rsidP="004206C2">
      <w:pPr>
        <w:spacing w:after="0" w:line="240" w:lineRule="auto"/>
      </w:pPr>
      <w:r>
        <w:separator/>
      </w:r>
    </w:p>
  </w:footnote>
  <w:footnote w:type="continuationSeparator" w:id="1">
    <w:p w:rsidR="005360C5" w:rsidRDefault="005360C5" w:rsidP="00420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4206C2"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3D4DD0"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ED5A59">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rsidR="008F1548" w:rsidRDefault="005360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1920"/>
    <w:rsid w:val="001F59FF"/>
    <w:rsid w:val="002E52CF"/>
    <w:rsid w:val="003D4DD0"/>
    <w:rsid w:val="004206C2"/>
    <w:rsid w:val="005360C5"/>
    <w:rsid w:val="008230B3"/>
    <w:rsid w:val="00840F1F"/>
    <w:rsid w:val="00A1320A"/>
    <w:rsid w:val="00BC47A0"/>
    <w:rsid w:val="00D11920"/>
    <w:rsid w:val="00ED5A59"/>
    <w:rsid w:val="00F23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9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2021-04-14T20:25:00Z</dcterms:created>
  <dcterms:modified xsi:type="dcterms:W3CDTF">2021-04-14T20:25:00Z</dcterms:modified>
</cp:coreProperties>
</file>